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7"/>
        <w:jc w:val="right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Приложение 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3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right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к извещению о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б осуществлении закупки</w:t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right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center"/>
        <w:spacing w:before="0" w:beforeAutospacing="0" w:after="0" w:afterAutospacing="0"/>
        <w:rPr>
          <w:rFonts w:ascii="PT Astra Serif" w:hAnsi="PT Astra Serif"/>
          <w:b/>
          <w:bCs/>
          <w:color w:val="000000"/>
          <w:sz w:val="24"/>
          <w:szCs w:val="24"/>
          <w:lang w:val="ru-RU"/>
        </w:rPr>
      </w:pPr>
      <w:r>
        <w:rPr>
          <w:rFonts w:ascii="PT Astra Serif" w:hAnsi="PT Astra Serif"/>
          <w:b/>
          <w:bCs/>
          <w:color w:val="000000"/>
          <w:sz w:val="24"/>
          <w:szCs w:val="24"/>
          <w:lang w:val="ru-RU"/>
        </w:rPr>
        <w:t xml:space="preserve">Требования к содержанию, составу заявки на участие в закупке в соответствии </w:t>
      </w:r>
      <w:r>
        <w:rPr>
          <w:rFonts w:ascii="PT Astra Serif" w:hAnsi="PT Astra Serif"/>
          <w:b/>
          <w:bCs/>
          <w:color w:val="000000"/>
          <w:sz w:val="24"/>
          <w:szCs w:val="24"/>
          <w:lang w:val="ru-RU"/>
        </w:rPr>
      </w:r>
    </w:p>
    <w:p>
      <w:pPr>
        <w:ind w:firstLine="567"/>
        <w:jc w:val="center"/>
        <w:spacing w:before="0" w:beforeAutospacing="0" w:after="0" w:afterAutospacing="0"/>
        <w:rPr>
          <w:rFonts w:ascii="PT Astra Serif" w:hAnsi="PT Astra Serif"/>
          <w:b/>
          <w:bCs/>
          <w:color w:val="000000"/>
          <w:sz w:val="24"/>
          <w:szCs w:val="24"/>
          <w:lang w:val="ru-RU"/>
        </w:rPr>
      </w:pPr>
      <w:r>
        <w:rPr>
          <w:rFonts w:ascii="PT Astra Serif" w:hAnsi="PT Astra Serif"/>
          <w:b/>
          <w:bCs/>
          <w:color w:val="000000"/>
          <w:sz w:val="24"/>
          <w:szCs w:val="24"/>
          <w:lang w:val="ru-RU"/>
        </w:rPr>
        <w:t xml:space="preserve">с Законом о контрактной системе и инструкция по ее заполнению</w:t>
      </w:r>
      <w:r>
        <w:rPr>
          <w:rFonts w:ascii="PT Astra Serif" w:hAnsi="PT Astra Serif"/>
          <w:b/>
          <w:bCs/>
          <w:color w:val="000000"/>
          <w:sz w:val="24"/>
          <w:szCs w:val="24"/>
          <w:lang w:val="ru-RU"/>
        </w:rPr>
      </w:r>
    </w:p>
    <w:p>
      <w:pPr>
        <w:ind w:firstLine="567"/>
        <w:jc w:val="center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Подать заявку на участие в закупке вправе только заре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гистрированный в единой информационной системе и аккредитованный на электронной площадке,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площадки;</w:t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Участник закупки вправе подать то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закупке.</w:t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Подача заявки на участие в закупке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 означает согласие участника закупки, подавшего такую заявку, на поставку товара, выполнение работы, оказание услуги на условиях, предусмотренных извещением об осуществлении закупки, и в соответствии с заявкой такого участника закупки на участие в закупке.</w:t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Для участия в конкурентном способе заявка на участие в закупке, если иное не предусмотрено Законом о контрактной системе, должна содержать:</w:t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b/>
          <w:color w:val="000000"/>
          <w:sz w:val="24"/>
          <w:szCs w:val="24"/>
          <w:lang w:val="ru-RU"/>
        </w:rPr>
      </w:pPr>
      <w:r>
        <w:rPr>
          <w:rFonts w:ascii="PT Astra Serif" w:hAnsi="PT Astra Serif"/>
          <w:b/>
          <w:color w:val="000000"/>
          <w:sz w:val="24"/>
          <w:szCs w:val="24"/>
          <w:lang w:val="ru-RU"/>
        </w:rPr>
        <w:t xml:space="preserve">1) информацию и документы об участнике закупки:</w:t>
      </w:r>
      <w:r>
        <w:rPr>
          <w:rFonts w:ascii="PT Astra Serif" w:hAnsi="PT Astra Serif"/>
          <w:b/>
          <w:color w:val="0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а) полное и сокращённое (при наличии) наименование юридического лица, в том числе иностранного юридического лица (если участником закупки является 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юридическое лицо), аккредитованного филиала или представительства иностранного юридического лица (если от имени иностранного юридического лица выступает аккредитованный филиал или представительство), наименование обособленного подразделения юридического ли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ца (если от имени участника закупки выступает обособленное подразделение юридического лица), фамилия, имя, отчество (при наличии) (если участником закупки является физическое лицо, в том числе зарегистрированное в качестве индивидуального предпринимателя);</w:t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б) фамилия, имя, отчество (при наличии), идентификационный номер налогоплательщика (при наличии) и должность лица, имеющего право без доверенности дейс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твовать от имени юридического лица, либо действующего в качестве руководителя юридического лица, аккредитованного филиала или представительства иностранного юридического лица, либо исполняющего функции единоличного исполнительного органа юридического лица;</w:t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в) 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идентификационный номер налогоплательщика (при наличии) чле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нов коллегиального исполнительного органа, лица, исполняющего функции единоличного исполнительного органа, управляющего (при наличии), управляющей организации (при наличии), участников (членов) корпоративного юридического лица, владеющих более чем двадцать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ю пятью процентами акций (долей, паёв) корпоративного юридического лица,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лиц;</w:t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г) адрес юридического лица, в том числе иностранного юридичес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кого лица (если участником закупки является юридическое лицо) в пределах места нахождения юридического лица, адрес (место нахождения) аккредитованного филиала или представительства на территории Российской Федерации (если от имени иностранного юридического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 лица выступает аккредитованный филиал или представительство), адрес (место нахождения) обособленного подразделения юридического лица (если от имени участника закупки выступает обособленное подразделение юридического лица), место жительства физического лиц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а, в том числе зарегистрированного в качестве индивидуального предпринимателя (если участник закупки является физическим лицом, в том числе зарегистрированным в качестве индивидуального предпринимателя), адрес электронной почты, номер контактного телефона;</w:t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д) копия документа, удостоверяющего личность участника закупки в соответствии с законодательством Российской Федерации (если участник закупки является физическим лицом, не являющимся индивидуальным предпринимателем);</w:t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е) идентификационный номер налогоплательщика юридического лица (если участником закупки явля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ется юридическое лицо), аккредитованного филиала или представительства иностранного юридического лица (если от имени иностранного юридического лица выступает аккредитованный филиал или представительство), физического лица, в том числе зарегистрированного в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 качестве индивидуального предпринимателя (если участником закупки является физическое лицо, в том числе зарегистрированное в качестве индивидуального предпринимателя), аналог идентификационного номера налогоплательщика в соответствии с законодательством с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оответствующего иностранного государства (если участником закупки является иностранное лицо), код причины постановки на учёт юридического лица (если участником закупки является юридическое лицо), аккредитованного филиала или представительства иностранного 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юридического лица (если от имени иностранного юридического лица выступает аккредитованный филиал или представительство), обособленного подразделения юридического лица (если от имени участника закупки выступает обособленное подразделение юридического лица);</w:t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ж)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 выписка из единого государственного реестра юридических лиц (если участником закупки является юридическое лицо), выписка из единого государственного реестра индивидуальных предпринимателей (если участником закупки является индивидуальный предприниматель);</w:t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з) надлежащим образом, заверенный перевод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(если участником закупки является иностранное лицо);</w:t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и) декларация о принадлежности участника закупки к учреждению или предприятию уголовно-исполнительной системы (если участник закупки является учреждением или предприятием уголовно-исполнительной системы):</w:t>
      </w:r>
      <w:r>
        <w:rPr>
          <w:rFonts w:ascii="PT Astra Serif" w:hAnsi="PT Astra Serif"/>
          <w:b/>
          <w:color w:val="000099"/>
          <w:sz w:val="24"/>
          <w:szCs w:val="24"/>
          <w:lang w:val="ru-RU"/>
        </w:rPr>
        <w:t xml:space="preserve"> не требуется;</w:t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к) декларация о принадлежности участника закупки к организации инвалидов, предусмотренной частью 2 статьи 29 Закона о контрактной системе (если участник закупки является такой организацией):</w:t>
      </w:r>
      <w:r>
        <w:rPr>
          <w:rFonts w:ascii="PT Astra Serif" w:hAnsi="PT Astra Serif"/>
          <w:b/>
          <w:color w:val="000099"/>
          <w:sz w:val="24"/>
          <w:szCs w:val="24"/>
          <w:lang w:val="ru-RU"/>
        </w:rPr>
        <w:t xml:space="preserve"> не требуется;</w:t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c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л) 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декларация о принадлежности участника закупки к социально ориентированным некоммерческим организациям в случае установления преимущества, предусмотренного частью 3 статьи 30 Закона о контрактной 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системе</w:t>
      </w:r>
      <w:r>
        <w:rPr>
          <w:rFonts w:ascii="PT Astra Serif" w:hAnsi="PT Astra Serif"/>
          <w:color w:val="000099"/>
          <w:sz w:val="24"/>
          <w:szCs w:val="24"/>
          <w:lang w:val="ru-RU"/>
        </w:rPr>
        <w:t xml:space="preserve">: </w:t>
      </w:r>
      <w:r>
        <w:rPr>
          <w:rFonts w:ascii="PT Astra Serif" w:hAnsi="PT Astra Serif"/>
          <w:b/>
          <w:color w:val="000099"/>
          <w:sz w:val="24"/>
          <w:szCs w:val="24"/>
          <w:lang w:val="ru-RU"/>
        </w:rPr>
        <w:t xml:space="preserve"> т</w:t>
      </w:r>
      <w:r>
        <w:rPr>
          <w:rFonts w:ascii="PT Astra Serif" w:hAnsi="PT Astra Serif"/>
          <w:b/>
          <w:color w:val="000099"/>
          <w:sz w:val="24"/>
          <w:szCs w:val="24"/>
          <w:lang w:val="ru-RU"/>
        </w:rPr>
        <w:t xml:space="preserve">ребуется</w:t>
      </w:r>
      <w:r>
        <w:rPr>
          <w:rFonts w:ascii="PT Astra Serif" w:hAnsi="PT Astra Serif"/>
          <w:b/>
          <w:color w:val="000099"/>
          <w:sz w:val="24"/>
          <w:szCs w:val="24"/>
          <w:lang w:val="ru-RU"/>
        </w:rPr>
        <w:t xml:space="preserve">;</w:t>
      </w:r>
      <w:r>
        <w:rPr>
          <w:rFonts w:ascii="PT Astra Serif" w:hAnsi="PT Astra Serif"/>
          <w:color w:val="c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м)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</w:t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н) документы, подтверждающие соответствие участника закупки требованиям, установленным пунктом 1 части 1 статьи 31 Закона о контрактной системе, докум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енты, подтверждающие соответствие участника закупки дополнительным требованиям, установленным в соответствии с частями 2 и 2.1 (при наличии таких требований) статьи 31 Закона о контрактной системе, если иное не предусмотрено Законом о контрактной системе: </w:t>
      </w:r>
      <w:r>
        <w:rPr>
          <w:rFonts w:ascii="PT Astra Serif" w:hAnsi="PT Astra Serif"/>
          <w:b/>
          <w:color w:val="000099"/>
          <w:sz w:val="24"/>
          <w:szCs w:val="24"/>
          <w:lang w:val="ru-RU"/>
        </w:rPr>
        <w:t xml:space="preserve">не требуется</w:t>
      </w:r>
      <w:r>
        <w:rPr>
          <w:rFonts w:ascii="PT Astra Serif" w:hAnsi="PT Astra Serif"/>
          <w:color w:val="000000"/>
          <w:sz w:val="24"/>
          <w:szCs w:val="24"/>
          <w:lang w:val="ru-RU"/>
        </w:rPr>
      </w:r>
      <w:r>
        <w:rPr>
          <w:rFonts w:ascii="PT Astra Serif" w:hAnsi="PT Astra Serif"/>
          <w:color w:val="000099"/>
          <w:sz w:val="24"/>
          <w:szCs w:val="24"/>
          <w:lang w:val="ru-RU"/>
        </w:rPr>
        <w:t xml:space="preserve">;</w:t>
      </w:r>
      <w:r>
        <w:rPr>
          <w:rFonts w:ascii="PT Astra Serif" w:hAnsi="PT Astra Serif"/>
          <w:color w:val="000099"/>
          <w:sz w:val="24"/>
          <w:szCs w:val="24"/>
          <w:lang w:val="ru-RU"/>
        </w:rPr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sz w:val="24"/>
          <w:szCs w:val="24"/>
          <w:lang w:val="ru-RU"/>
        </w:rPr>
      </w:pPr>
      <w:r>
        <w:rPr>
          <w:rFonts w:ascii="PT Astra Serif" w:hAnsi="PT Astra Serif"/>
          <w:sz w:val="24"/>
          <w:szCs w:val="24"/>
          <w:lang w:val="ru-RU"/>
        </w:rPr>
        <w:t xml:space="preserve">о) декларация о соответствии участника закупки требованиям, установленным пунктами 3 - 5, 7 - 11 части 1 статьи 31 Закона о контрактной системе;</w:t>
      </w:r>
      <w:r>
        <w:rPr>
          <w:rFonts w:ascii="PT Astra Serif" w:hAnsi="PT Astra Serif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sz w:val="24"/>
          <w:szCs w:val="24"/>
          <w:lang w:val="ru-RU"/>
        </w:rPr>
      </w:pPr>
      <w:r>
        <w:rPr>
          <w:rFonts w:ascii="PT Astra Serif" w:hAnsi="PT Astra Serif"/>
          <w:sz w:val="24"/>
          <w:szCs w:val="24"/>
          <w:lang w:val="ru-RU"/>
        </w:rPr>
        <w:t xml:space="preserve">п) 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</w:t>
      </w:r>
      <w:r>
        <w:rPr>
          <w:rFonts w:ascii="PT Astra Serif" w:hAnsi="PT Astra Serif"/>
          <w:sz w:val="24"/>
          <w:szCs w:val="24"/>
          <w:lang w:val="ru-RU"/>
        </w:rPr>
        <w:t xml:space="preserve">ё</w:t>
      </w:r>
      <w:r>
        <w:rPr>
          <w:rFonts w:ascii="PT Astra Serif" w:hAnsi="PT Astra Serif"/>
          <w:sz w:val="24"/>
          <w:szCs w:val="24"/>
          <w:lang w:val="ru-RU"/>
        </w:rPr>
        <w:t xml:space="preserve">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контракта.</w:t>
      </w:r>
      <w:r>
        <w:rPr>
          <w:rFonts w:ascii="PT Astra Serif" w:hAnsi="PT Astra Serif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Информация и документы, предусмотренные подпунктами "а" - "л" настоящего документа, не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 включаются участником закупки в заявку на участие в закупке. Такие информация и документы в случаях, предусмотренных Законом о контрактной системе, направляются заказчику оператором электронной площадки, оператором специализированной электронной площадки 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путём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 информационного взаимодействия с единой информационной системой;</w:t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Документы, подтверждающие соответствие участника закупки дополнительным требованиям, установленным в соответствии с частью 2 или 2.1 статьи 31 Закона о контрактной системе, и предусмотренные подпунктом "н" пункта 1 части 1 настоящего документа, не включ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аются участником закупки в заявку на участие в закупке. Такие документы в случаях, предусмотренных Законом о контрактной системе, направляются заказчику оператором электронной площадки из реестра участников закупок, аккредитованных на электронной площадке;</w:t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b/>
          <w:color w:val="000000"/>
          <w:sz w:val="24"/>
          <w:szCs w:val="24"/>
          <w:lang w:val="ru-RU"/>
        </w:rPr>
      </w:pPr>
      <w:r>
        <w:rPr>
          <w:rFonts w:ascii="PT Astra Serif" w:hAnsi="PT Astra Serif"/>
          <w:b/>
          <w:color w:val="000000"/>
          <w:sz w:val="24"/>
          <w:szCs w:val="24"/>
          <w:lang w:val="ru-RU"/>
        </w:rPr>
        <w:t xml:space="preserve">2) предложение участника закупки в отношении объекта закупки:</w:t>
      </w:r>
      <w:r>
        <w:rPr>
          <w:rFonts w:ascii="PT Astra Serif" w:hAnsi="PT Astra Serif"/>
          <w:b/>
          <w:color w:val="0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а) наименование страны происхождения товара в соответствии с общероссийским классификатором, используемым для идентификации стран мира.</w:t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Информация о товаре, предусмотренная подпунктом «а», включается в заявку на участие в закупке в случае осуществления закупки товара, в том числе поставляемого заказчику при выполнении закупаемых работ, оказании закупаемых услуг. </w:t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б) документы,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ации установлены требования к товару, работе или услуге и представление указанных документов предусмотрено извещением об осуществлении закупки, документацией о закупке, если Законом о контрактной системе предусмотрена документация о закупке): не требуется;</w:t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в) иные информация и документы, в том числе эскиз, рисунок, чертёж, фотография, иное изображение предлагаемого участником закупки товара. При этом отсутствие таких информации и документов не является основанием для отклонения заявки на участие в закупке;</w:t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3) информация и документы, предусмотренные нормативными правовыми актами, принятыми в соответствии с частями 3 и 4 статьи 14 Закона о контрактной системе (в случае, если в извещении об осуществлении за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купки, документации о закупке (если Законом о контрактной системе предусмотрена документация о закупке) установлены предусмотренные указанной статьёй запреты, ограничения, условия допуска). В случае отсутствия таких информации и документов в заявке на учас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тие в закупке такая заявка приравнивается к заявке, в которой содержится предложение о поставке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лицами: </w:t>
      </w:r>
      <w:r>
        <w:rPr>
          <w:rFonts w:ascii="PT Astra Serif" w:hAnsi="PT Astra Serif"/>
          <w:b/>
          <w:color w:val="000099"/>
          <w:sz w:val="24"/>
          <w:szCs w:val="24"/>
          <w:lang w:val="ru-RU"/>
        </w:rPr>
        <w:t xml:space="preserve">не т</w:t>
      </w:r>
      <w:r>
        <w:rPr>
          <w:rFonts w:ascii="PT Astra Serif" w:hAnsi="PT Astra Serif"/>
          <w:b/>
          <w:color w:val="000099"/>
          <w:sz w:val="24"/>
          <w:szCs w:val="24"/>
          <w:lang w:val="ru-RU"/>
        </w:rPr>
        <w:t xml:space="preserve">ребуется</w:t>
      </w:r>
      <w:r>
        <w:rPr>
          <w:rFonts w:ascii="PT Astra Serif" w:hAnsi="PT Astra Serif"/>
          <w:color w:val="000099"/>
          <w:sz w:val="24"/>
          <w:szCs w:val="24"/>
          <w:lang w:val="ru-RU"/>
        </w:rPr>
        <w:t xml:space="preserve">.</w:t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jc w:val="center"/>
        <w:spacing w:before="0" w:beforeAutospacing="0" w:after="0" w:afterAutospacing="0"/>
        <w:rPr>
          <w:rFonts w:ascii="PT Astra Serif" w:hAnsi="PT Astra Serif"/>
          <w:b/>
          <w:color w:val="000000"/>
          <w:sz w:val="24"/>
          <w:szCs w:val="24"/>
          <w:lang w:val="ru-RU"/>
        </w:rPr>
      </w:pPr>
      <w:r>
        <w:rPr>
          <w:rFonts w:ascii="PT Astra Serif" w:hAnsi="PT Astra Serif"/>
          <w:b/>
          <w:bCs/>
          <w:color w:val="000000"/>
          <w:sz w:val="24"/>
          <w:szCs w:val="24"/>
          <w:lang w:val="ru-RU"/>
        </w:rPr>
        <w:t xml:space="preserve">ИНСТРУКЦИЯ</w:t>
      </w:r>
      <w:r>
        <w:rPr>
          <w:rFonts w:ascii="PT Astra Serif" w:hAnsi="PT Astra Serif"/>
          <w:lang w:val="ru-RU"/>
        </w:rPr>
        <w:br/>
      </w:r>
      <w:r>
        <w:rPr>
          <w:rFonts w:ascii="PT Astra Serif" w:hAnsi="PT Astra Serif"/>
          <w:b/>
          <w:color w:val="000000"/>
          <w:sz w:val="24"/>
          <w:szCs w:val="24"/>
          <w:lang w:val="ru-RU"/>
        </w:rPr>
        <w:t xml:space="preserve">по заполнению заявки на участие в </w:t>
      </w:r>
      <w:r>
        <w:rPr>
          <w:rFonts w:ascii="PT Astra Serif" w:hAnsi="PT Astra Serif"/>
          <w:b/>
          <w:color w:val="000000"/>
          <w:sz w:val="24"/>
          <w:szCs w:val="24"/>
          <w:lang w:val="ru-RU"/>
        </w:rPr>
        <w:t xml:space="preserve">закупке</w:t>
      </w:r>
      <w:r>
        <w:rPr>
          <w:rFonts w:ascii="PT Astra Serif" w:hAnsi="PT Astra Serif"/>
          <w:b/>
          <w:color w:val="000000"/>
          <w:sz w:val="24"/>
          <w:szCs w:val="24"/>
          <w:lang w:val="ru-RU"/>
        </w:rPr>
      </w:r>
    </w:p>
    <w:p>
      <w:pPr>
        <w:ind w:firstLine="567"/>
        <w:jc w:val="center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Участник закупки формирует предложение в отношении объекта закупки (в соответствии с п. 31 Дополнительных требований к операторам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 электронных площадок, операторам специализированных электронных площадок и функционированию электронных площадок, специализированных электронных площадок (утв. постановлением Правительства РФ от 08.06.2018 №656) с использованием электронной площадки - в с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труктурированном виде (наименование страны происхождения товара, товарный знак (при наличии у товара товарного знака), а также характеристики предлагаемого участником закупки товара в части характеристик, содержащихся в извещении об осуществлении закупки).</w:t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При подаче с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ведений участниками закупки должны применяться обозначения (единицы измерения, наименования показателей, технических, функциональных параметров) в соответствии с обозначениями, установленными в Приложении 1 «Описание объекта закупки (Техническое задание)».</w:t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В случае, если в ГОСТе, ТУ, паспорте и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ли других технических документах установлены одни допустимые значения показателей, а инструкция по заполнению заявки предписывает указать иные значения, показатели товаров в любом случае должны быть заполнены в строгом соответствии с настоящей инструкцией.</w:t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567"/>
        <w:jc w:val="center"/>
        <w:spacing w:before="0" w:beforeAutospacing="0" w:after="0" w:afterAutospacing="0"/>
        <w:rPr>
          <w:rFonts w:ascii="PT Astra Serif" w:hAnsi="PT Astra Serif"/>
          <w:b/>
          <w:color w:val="000000"/>
          <w:sz w:val="24"/>
          <w:szCs w:val="24"/>
          <w:lang w:val="ru-RU"/>
        </w:rPr>
      </w:pPr>
      <w:r>
        <w:rPr>
          <w:rFonts w:ascii="PT Astra Serif" w:hAnsi="PT Astra Serif"/>
          <w:b/>
          <w:color w:val="000000"/>
          <w:sz w:val="24"/>
          <w:szCs w:val="24"/>
          <w:lang w:val="ru-RU"/>
        </w:rPr>
      </w:r>
      <w:r>
        <w:rPr>
          <w:rFonts w:ascii="PT Astra Serif" w:hAnsi="PT Astra Serif"/>
          <w:b/>
          <w:color w:val="000000"/>
          <w:sz w:val="24"/>
          <w:szCs w:val="24"/>
          <w:lang w:val="ru-RU"/>
        </w:rPr>
      </w:r>
    </w:p>
    <w:p>
      <w:pPr>
        <w:ind w:firstLine="567"/>
        <w:jc w:val="center"/>
        <w:spacing w:before="0" w:beforeAutospacing="0" w:after="0" w:afterAutospacing="0"/>
        <w:rPr>
          <w:rFonts w:ascii="PT Astra Serif" w:hAnsi="PT Astra Serif"/>
          <w:b/>
          <w:color w:val="000000"/>
          <w:sz w:val="24"/>
          <w:szCs w:val="24"/>
          <w:lang w:val="ru-RU"/>
        </w:rPr>
      </w:pPr>
      <w:r>
        <w:rPr>
          <w:rFonts w:ascii="PT Astra Serif" w:hAnsi="PT Astra Serif"/>
          <w:b/>
          <w:color w:val="000000"/>
          <w:sz w:val="24"/>
          <w:szCs w:val="24"/>
          <w:lang w:val="ru-RU"/>
        </w:rPr>
        <w:t xml:space="preserve">Раздел I</w:t>
      </w:r>
      <w:r>
        <w:rPr>
          <w:rFonts w:ascii="PT Astra Serif" w:hAnsi="PT Astra Serif"/>
          <w:b/>
          <w:color w:val="000000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  <w:t xml:space="preserve">Инструкцией установлено «Участник закупки указывает в заявке конкретное значение характеристики».</w:t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  <w:t xml:space="preserve">Если заказчиком в «Описании объекта закупки» при описании значения характеристики используются следующие знаки и слова, участником предоставляются значения, указанные ниже:</w:t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  <w:t xml:space="preserve">- «&gt;» - значение характеристики, превышающее указанное,</w:t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  <w:t xml:space="preserve">- «≥» - значение равное или превышающее указанное;</w:t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  <w:t xml:space="preserve">- «&lt;» - значение характеристики менее указанного, </w:t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  <w:t xml:space="preserve">- «≤» - значение равное или менее указанного;</w:t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  <w:t xml:space="preserve"> - «≥ и &lt;» - значение равное или превышающее левое значение и менее правого значения;</w:t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  <w:t xml:space="preserve">- «&gt; и ≤» - значение превышающее левое значение и равное или менее правого значения;</w:t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  <w:t xml:space="preserve">- «&gt; и &lt;» - значение превышающее левое значение и менее правого значения;</w:t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  <w:t xml:space="preserve">- «≥ и ≤» - значение равное или превышающее левое значение и равное или менее правого значения.</w:t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  <w:t xml:space="preserve">- «не менее», «не ниже» - значение равное или превышающее указанное;</w:t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  <w:t xml:space="preserve">- «не более», «не выше» - значение равное или менее указанного;</w:t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  <w:t xml:space="preserve">- «менее», «ниже» - значение меньше указанного;</w:t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  <w:t xml:space="preserve">- «более», «выше», «свыше» - значение, превышающее указанное;</w:t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  <w:t xml:space="preserve">- «не менее и не более», «не менее, не более», «не менее не более», «не менее; не более», «не менее/не более» - конкретное значение в рамках значений верхней и нижней границы;</w:t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  <w:t xml:space="preserve">- «до» - значение меньше указанного, за исключением случаев, когда указанное значение сопровождается словом «включительно»; </w:t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  <w:t xml:space="preserve">- «от» - указанное значение или превышающее его;</w:t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  <w:t xml:space="preserve">Если характеристика указана с использованием нескольких значений, требование знака применяются к каждому значению следующим после знака, до нового знака, описывающего значение характеристики (</w:t>
      </w:r>
      <w:r>
        <w:rPr>
          <w:rFonts w:ascii="PT Astra Serif" w:hAnsi="PT Astra Serif" w:eastAsia="Calibri"/>
          <w:sz w:val="24"/>
          <w:szCs w:val="24"/>
          <w:lang w:val="ru-RU"/>
        </w:rPr>
        <w:t xml:space="preserve">например</w:t>
      </w:r>
      <w:r>
        <w:rPr>
          <w:rFonts w:ascii="PT Astra Serif" w:hAnsi="PT Astra Serif" w:eastAsia="Calibri"/>
          <w:sz w:val="24"/>
          <w:szCs w:val="24"/>
          <w:lang w:val="ru-RU"/>
        </w:rPr>
        <w:t xml:space="preserve">: ≥ 5*10 – знак применяется к значению 5 и к значению 10).</w:t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567"/>
        <w:jc w:val="center"/>
        <w:spacing w:before="0" w:beforeAutospacing="0" w:after="0" w:afterAutospacing="0"/>
        <w:rPr>
          <w:rFonts w:ascii="PT Astra Serif" w:hAnsi="PT Astra Serif"/>
          <w:b/>
          <w:color w:val="000000"/>
          <w:sz w:val="24"/>
          <w:szCs w:val="24"/>
          <w:lang w:val="ru-RU"/>
        </w:rPr>
      </w:pPr>
      <w:r>
        <w:rPr>
          <w:rFonts w:ascii="PT Astra Serif" w:hAnsi="PT Astra Serif"/>
          <w:b/>
          <w:color w:val="000000"/>
          <w:sz w:val="24"/>
          <w:szCs w:val="24"/>
          <w:lang w:val="ru-RU"/>
        </w:rPr>
      </w:r>
      <w:r>
        <w:rPr>
          <w:rFonts w:ascii="PT Astra Serif" w:hAnsi="PT Astra Serif"/>
          <w:b/>
          <w:color w:val="000000"/>
          <w:sz w:val="24"/>
          <w:szCs w:val="24"/>
          <w:lang w:val="ru-RU"/>
        </w:rPr>
      </w:r>
    </w:p>
    <w:p>
      <w:pPr>
        <w:ind w:firstLine="567"/>
        <w:jc w:val="center"/>
        <w:spacing w:before="0" w:beforeAutospacing="0" w:after="0" w:afterAutospacing="0"/>
        <w:rPr>
          <w:rFonts w:ascii="PT Astra Serif" w:hAnsi="PT Astra Serif"/>
          <w:b/>
          <w:color w:val="000000"/>
          <w:sz w:val="24"/>
          <w:szCs w:val="24"/>
          <w:lang w:val="ru-RU"/>
        </w:rPr>
      </w:pPr>
      <w:r>
        <w:rPr>
          <w:rFonts w:ascii="PT Astra Serif" w:hAnsi="PT Astra Serif"/>
          <w:b/>
          <w:color w:val="000000"/>
          <w:sz w:val="24"/>
          <w:szCs w:val="24"/>
          <w:lang w:val="ru-RU"/>
        </w:rPr>
        <w:t xml:space="preserve">Раздел II</w:t>
      </w:r>
      <w:r>
        <w:rPr>
          <w:rFonts w:ascii="PT Astra Serif" w:hAnsi="PT Astra Serif"/>
          <w:b/>
          <w:color w:val="000000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  <w:t xml:space="preserve">Инструкцией установлено «Участник закупки указывает в заявке диапазон значений характеристики», </w:t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  <w:t xml:space="preserve">Если заказчиком в «Описании объекта закупки» при описании значения характеристики используются следующие знаки, участником предоставляются значения, указанные ниже:</w:t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  <w:t xml:space="preserve">- ≤ - участником представляется значение менее или равное установленному;</w:t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  <w:t xml:space="preserve">- ≥ - участником представляется значение более или равное установленному;</w:t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  <w:t xml:space="preserve">- </w:t>
      </w:r>
      <w:r>
        <w:rPr>
          <w:rFonts w:ascii="PT Astra Serif" w:hAnsi="PT Astra Serif" w:eastAsia="Calibri"/>
          <w:sz w:val="24"/>
          <w:szCs w:val="24"/>
          <w:lang w:val="ru-RU"/>
        </w:rPr>
        <w:t xml:space="preserve">&lt; -</w:t>
      </w:r>
      <w:r>
        <w:rPr>
          <w:rFonts w:ascii="PT Astra Serif" w:hAnsi="PT Astra Serif" w:eastAsia="Calibri"/>
          <w:sz w:val="24"/>
          <w:szCs w:val="24"/>
          <w:lang w:val="ru-RU"/>
        </w:rPr>
        <w:t xml:space="preserve"> участником представляется значение менее установленному;</w:t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  <w:t xml:space="preserve">- &gt;</w:t>
      </w:r>
      <w:r>
        <w:rPr>
          <w:rFonts w:ascii="PT Astra Serif" w:hAnsi="PT Astra Serif" w:eastAsia="Calibri"/>
          <w:sz w:val="24"/>
          <w:szCs w:val="24"/>
          <w:lang w:val="ru-RU"/>
        </w:rPr>
        <w:t xml:space="preserve"> - участником представляется значение более установленному.</w:t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  <w:t xml:space="preserve">В случае, если требование к значению характеристики установлено одновременно с применением нескольких слов/знаков из данного раздела, в том числе с использованием союза «и» (например: ≥Х &lt;Y</w:t>
      </w:r>
      <w:r>
        <w:rPr>
          <w:rFonts w:ascii="PT Astra Serif" w:hAnsi="PT Astra Serif" w:eastAsia="Calibri"/>
          <w:sz w:val="24"/>
          <w:szCs w:val="24"/>
          <w:lang w:val="ru-RU"/>
        </w:rPr>
        <w:t xml:space="preserve">, &gt;Х</w:t>
      </w:r>
      <w:r>
        <w:rPr>
          <w:rFonts w:ascii="PT Astra Serif" w:hAnsi="PT Astra Serif" w:eastAsia="Calibri"/>
          <w:sz w:val="24"/>
          <w:szCs w:val="24"/>
          <w:lang w:val="ru-RU"/>
        </w:rPr>
        <w:t xml:space="preserve"> и ≤ Y и т.д.) и от участника в соответствии с положениями инструкции требуется предоставить диапазон значений характеристики, участник в заявке указывает значение диапазона соответствующее установленным  требованиям.</w:t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  <w:t xml:space="preserve">При указании участником диапазонных значений характеристики могут быть использованы слова и знаки, если это допускается функционалом торговой площадки.</w:t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567"/>
        <w:jc w:val="center"/>
        <w:spacing w:before="0" w:beforeAutospacing="0" w:after="0" w:afterAutospacing="0"/>
        <w:rPr>
          <w:rFonts w:ascii="PT Astra Serif" w:hAnsi="PT Astra Serif"/>
          <w:b/>
          <w:color w:val="000000"/>
          <w:sz w:val="24"/>
          <w:szCs w:val="24"/>
          <w:lang w:val="ru-RU"/>
        </w:rPr>
      </w:pPr>
      <w:r>
        <w:rPr>
          <w:rFonts w:ascii="PT Astra Serif" w:hAnsi="PT Astra Serif"/>
          <w:b/>
          <w:color w:val="000000"/>
          <w:sz w:val="24"/>
          <w:szCs w:val="24"/>
          <w:lang w:val="ru-RU"/>
        </w:rPr>
        <w:t xml:space="preserve">Раздел III</w:t>
      </w:r>
      <w:r>
        <w:rPr>
          <w:rFonts w:ascii="PT Astra Serif" w:hAnsi="PT Astra Serif"/>
          <w:b/>
          <w:color w:val="000000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Инструкцией установлено «Участник закупки указывает в заявке только одно значение характеристики». </w:t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Если заказчик в «Описании объекта закупки» при описании значения характеристики использует перечисления значений характеристики с использованием союзов «или», «либо» - участники выбирают одно из значений.</w:t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</w:r>
      <w:r>
        <w:rPr>
          <w:rFonts w:ascii="PT Astra Serif" w:hAnsi="PT Astra Serif"/>
          <w:color w:val="000000"/>
          <w:sz w:val="24"/>
          <w:szCs w:val="24"/>
          <w:lang w:val="ru-RU"/>
        </w:rPr>
      </w:r>
    </w:p>
    <w:p>
      <w:pPr>
        <w:ind w:firstLine="709"/>
        <w:jc w:val="center"/>
        <w:spacing w:before="0" w:beforeAutospacing="0" w:after="0" w:afterAutospacing="0"/>
        <w:rPr>
          <w:rFonts w:ascii="PT Astra Serif" w:hAnsi="PT Astra Serif" w:eastAsia="Calibri"/>
          <w:b/>
          <w:sz w:val="24"/>
          <w:szCs w:val="24"/>
          <w:lang w:val="ru-RU"/>
        </w:rPr>
      </w:pPr>
      <w:r>
        <w:rPr>
          <w:rFonts w:ascii="PT Astra Serif" w:hAnsi="PT Astra Serif" w:eastAsia="Calibri"/>
          <w:b/>
          <w:sz w:val="24"/>
          <w:szCs w:val="24"/>
          <w:lang w:val="ru-RU"/>
        </w:rPr>
        <w:t xml:space="preserve">Раздел IV</w:t>
      </w:r>
      <w:r>
        <w:rPr>
          <w:rFonts w:ascii="PT Astra Serif" w:hAnsi="PT Astra Serif" w:eastAsia="Calibri"/>
          <w:b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  <w:t xml:space="preserve">Инструкцией установлено «Участник закупки указывает в заявке одно или несколько значений характеристики».</w:t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  <w:t xml:space="preserve">Если заказчик в «Описании объекта закупки» при описании значения характеристики использует перечисления с союзами «и (или)» - участник предлагает одно или несколько значений (на свой выбор). </w:t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  <w:t xml:space="preserve">При одновременном использовании знаков «,» и союзов «или», «либо» участник указывает все значения до союза «или», «либо» или значение, указанное после союза «или», «либо» (</w:t>
      </w:r>
      <w:r>
        <w:rPr>
          <w:rFonts w:ascii="PT Astra Serif" w:hAnsi="PT Astra Serif" w:eastAsia="Calibri"/>
          <w:sz w:val="24"/>
          <w:szCs w:val="24"/>
          <w:lang w:val="ru-RU"/>
        </w:rPr>
        <w:t xml:space="preserve">например</w:t>
      </w:r>
      <w:r>
        <w:rPr>
          <w:rFonts w:ascii="PT Astra Serif" w:hAnsi="PT Astra Serif" w:eastAsia="Calibri"/>
          <w:sz w:val="24"/>
          <w:szCs w:val="24"/>
          <w:lang w:val="ru-RU"/>
        </w:rPr>
        <w:t xml:space="preserve">: 1, 2, 3 или 4; участник предлагает: вариант1 – 1, 2, 3; вариант 2 – 4).</w:t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center"/>
        <w:spacing w:before="0" w:beforeAutospacing="0" w:after="0" w:afterAutospacing="0"/>
        <w:rPr>
          <w:rFonts w:ascii="PT Astra Serif" w:hAnsi="PT Astra Serif" w:eastAsia="Calibri"/>
          <w:b/>
          <w:sz w:val="24"/>
          <w:szCs w:val="24"/>
          <w:lang w:val="ru-RU"/>
        </w:rPr>
      </w:pPr>
      <w:r>
        <w:rPr>
          <w:rFonts w:ascii="PT Astra Serif" w:hAnsi="PT Astra Serif" w:eastAsia="Calibri"/>
          <w:b/>
          <w:sz w:val="24"/>
          <w:szCs w:val="24"/>
          <w:lang w:val="ru-RU"/>
        </w:rPr>
        <w:t xml:space="preserve">Раздел V</w:t>
      </w:r>
      <w:r>
        <w:rPr>
          <w:rFonts w:ascii="PT Astra Serif" w:hAnsi="PT Astra Serif" w:eastAsia="Calibri"/>
          <w:b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  <w:t xml:space="preserve">Инструкцией установлено «Участник закупки указывает в заявке все значения характеристики»</w:t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  <w:t xml:space="preserve">Если заказчик в «Описании объекта закупки» при описании значения характеристики использует перечисления через знаки «,», «;», «/», союз «и» участник закупки указывает в заявке все перечисленные значения.</w:t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center"/>
        <w:spacing w:before="0" w:beforeAutospacing="0" w:after="0" w:afterAutospacing="0"/>
        <w:rPr>
          <w:rFonts w:ascii="PT Astra Serif" w:hAnsi="PT Astra Serif" w:eastAsia="Calibri"/>
          <w:b/>
          <w:sz w:val="24"/>
          <w:szCs w:val="24"/>
          <w:lang w:val="ru-RU"/>
        </w:rPr>
      </w:pPr>
      <w:r>
        <w:rPr>
          <w:rFonts w:ascii="PT Astra Serif" w:hAnsi="PT Astra Serif" w:eastAsia="Calibri"/>
          <w:b/>
          <w:sz w:val="24"/>
          <w:szCs w:val="24"/>
          <w:lang w:val="ru-RU"/>
        </w:rPr>
        <w:t xml:space="preserve">Раздел VI</w:t>
      </w:r>
      <w:r>
        <w:rPr>
          <w:rFonts w:ascii="PT Astra Serif" w:hAnsi="PT Astra Serif" w:eastAsia="Calibri"/>
          <w:b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  <w:t xml:space="preserve">В случае установления Инструкцией «Значения характеристики не может изменяться участником». Участник закупки указывает в заявке значение характеристики в неизменном виде, независимо от значения слов и знаков, используемых </w:t>
      </w:r>
      <w:r>
        <w:rPr>
          <w:rFonts w:ascii="PT Astra Serif" w:hAnsi="PT Astra Serif" w:eastAsia="Calibri"/>
          <w:sz w:val="24"/>
          <w:szCs w:val="24"/>
          <w:lang w:val="ru-RU"/>
        </w:rPr>
        <w:t xml:space="preserve">З</w:t>
      </w:r>
      <w:r>
        <w:rPr>
          <w:rFonts w:ascii="PT Astra Serif" w:hAnsi="PT Astra Serif" w:eastAsia="Calibri"/>
          <w:sz w:val="24"/>
          <w:szCs w:val="24"/>
          <w:lang w:val="ru-RU"/>
        </w:rPr>
        <w:t xml:space="preserve">аказчиком в «описании объекта закупки». </w:t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  <w:t xml:space="preserve">Значения показателей не должны допускать разночтения или двусмысленное толкование и содержать в </w:t>
      </w:r>
      <w:r>
        <w:rPr>
          <w:rFonts w:ascii="PT Astra Serif" w:hAnsi="PT Astra Serif" w:eastAsia="Calibri"/>
          <w:sz w:val="24"/>
          <w:szCs w:val="24"/>
          <w:lang w:val="ru-RU"/>
        </w:rPr>
        <w:t xml:space="preserve">т.ч</w:t>
      </w:r>
      <w:r>
        <w:rPr>
          <w:rFonts w:ascii="PT Astra Serif" w:hAnsi="PT Astra Serif" w:eastAsia="Calibri"/>
          <w:sz w:val="24"/>
          <w:szCs w:val="24"/>
          <w:lang w:val="ru-RU"/>
        </w:rPr>
        <w:t xml:space="preserve">. следующие слова (с </w:t>
      </w:r>
      <w:r>
        <w:rPr>
          <w:rFonts w:ascii="PT Astra Serif" w:hAnsi="PT Astra Serif" w:eastAsia="Calibri"/>
          <w:sz w:val="24"/>
          <w:szCs w:val="24"/>
          <w:lang w:val="ru-RU"/>
        </w:rPr>
        <w:t xml:space="preserve">учетом</w:t>
      </w:r>
      <w:r>
        <w:rPr>
          <w:rFonts w:ascii="PT Astra Serif" w:hAnsi="PT Astra Serif" w:eastAsia="Calibri"/>
          <w:sz w:val="24"/>
          <w:szCs w:val="24"/>
          <w:lang w:val="ru-RU"/>
        </w:rPr>
        <w:t xml:space="preserve"> всех форм слов): «не более», «не менее», «не выше», «не ниже», «менее», «более», «должен», «должен быть», «</w:t>
      </w:r>
      <w:r>
        <w:rPr>
          <w:rFonts w:ascii="PT Astra Serif" w:hAnsi="PT Astra Serif" w:eastAsia="Calibri"/>
          <w:sz w:val="24"/>
          <w:szCs w:val="24"/>
          <w:lang w:val="ru-RU"/>
        </w:rPr>
        <w:t xml:space="preserve">превышает», «не превышает», «от», «до», «или», знаки: «&gt;», «≥», «≤», «&lt;», «±» и иные слова/знаки (за исключением случаев, установленных Инструкцией, при которых указанные слова/знаки являются частью неизменного показателя), то есть должны быть конкретными.</w:t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  <w:t xml:space="preserve">Несоблюдение указанных требований является основанием для принятия комиссией решения о признании заявки участника не соответствующей требованиям, установленным настоящим извещением.</w:t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24"/>
          <w:szCs w:val="24"/>
          <w:lang w:val="ru-RU"/>
        </w:rPr>
      </w:pPr>
      <w:r>
        <w:rPr>
          <w:rFonts w:ascii="PT Astra Serif" w:hAnsi="PT Astra Serif" w:eastAsia="Calibri"/>
          <w:sz w:val="24"/>
          <w:szCs w:val="24"/>
          <w:lang w:val="ru-RU"/>
        </w:rPr>
      </w:r>
      <w:r>
        <w:rPr>
          <w:rFonts w:ascii="PT Astra Serif" w:hAnsi="PT Astra Serif" w:eastAsia="Calibri"/>
          <w:sz w:val="24"/>
          <w:szCs w:val="24"/>
          <w:lang w:val="ru-RU"/>
        </w:rPr>
      </w:r>
    </w:p>
    <w:p>
      <w:pPr>
        <w:ind w:firstLine="709"/>
        <w:jc w:val="both"/>
        <w:spacing w:before="0" w:beforeAutospacing="0" w:after="0" w:afterAutospacing="0"/>
        <w:rPr>
          <w:rFonts w:ascii="PT Astra Serif" w:hAnsi="PT Astra Serif" w:eastAsia="Calibri"/>
          <w:sz w:val="18"/>
          <w:szCs w:val="24"/>
          <w:lang w:val="ru-RU"/>
        </w:rPr>
      </w:pPr>
      <w:r>
        <w:rPr>
          <w:rFonts w:ascii="PT Astra Serif" w:hAnsi="PT Astra Serif" w:eastAsia="Calibri"/>
          <w:sz w:val="18"/>
          <w:szCs w:val="24"/>
          <w:lang w:val="ru-RU"/>
        </w:rPr>
        <w:t xml:space="preserve">Примечание: </w:t>
      </w:r>
      <w:r>
        <w:rPr>
          <w:rFonts w:ascii="PT Astra Serif" w:hAnsi="PT Astra Serif" w:eastAsia="Calibri"/>
          <w:sz w:val="18"/>
          <w:szCs w:val="24"/>
          <w:lang w:val="ru-RU"/>
        </w:rPr>
        <w:t xml:space="preserve">В</w:t>
      </w:r>
      <w:r>
        <w:rPr>
          <w:rFonts w:ascii="PT Astra Serif" w:hAnsi="PT Astra Serif" w:eastAsia="Calibri"/>
          <w:sz w:val="18"/>
          <w:szCs w:val="24"/>
          <w:lang w:val="ru-RU"/>
        </w:rPr>
        <w:t xml:space="preserve"> случаях, когда Заказчиком используются при описании объекта закупки иные обозначения (слова/знаки) необходимо их внести в соответствующий раздел и расшифровать порядок их применения.</w:t>
      </w:r>
      <w:r>
        <w:rPr>
          <w:rFonts w:ascii="PT Astra Serif" w:hAnsi="PT Astra Serif" w:eastAsia="Calibri"/>
          <w:sz w:val="18"/>
          <w:szCs w:val="24"/>
          <w:lang w:val="ru-RU"/>
        </w:rPr>
      </w:r>
    </w:p>
    <w:sectPr>
      <w:footerReference w:type="default" r:id="rId9"/>
      <w:footnotePr/>
      <w:endnotePr/>
      <w:type w:val="nextPage"/>
      <w:pgSz w:w="11907" w:h="16839" w:orient="portrait"/>
      <w:pgMar w:top="567" w:right="567" w:bottom="567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 w:after="0"/>
      </w:pPr>
      <w:r>
        <w:separator/>
      </w:r>
      <w:r/>
    </w:p>
  </w:endnote>
  <w:endnote w:type="continuationSeparator" w:id="0">
    <w:p>
      <w:pPr>
        <w:spacing w:before="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  <w:font w:name="PT Astra Serif">
    <w:panose1 w:val="020A0603040505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394116607"/>
      <w:docPartObj>
        <w:docPartGallery w:val="Page Numbers (Bottom of Page)"/>
        <w:docPartUnique w:val="true"/>
      </w:docPartObj>
      <w:rPr/>
    </w:sdtPr>
    <w:sdtContent>
      <w:p>
        <w:pPr>
          <w:pStyle w:val="69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5</w:t>
        </w:r>
        <w:r>
          <w:fldChar w:fldCharType="end"/>
        </w:r>
        <w:r/>
      </w:p>
    </w:sdtContent>
  </w:sdt>
  <w:p>
    <w:pPr>
      <w:pStyle w:val="69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/>
      </w:pPr>
      <w:r>
        <w:separator/>
      </w:r>
      <w:r/>
    </w:p>
  </w:footnote>
  <w:footnote w:type="continuationSeparator" w:id="0">
    <w:p>
      <w:pPr>
        <w:spacing w:before="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5"/>
    <w:link w:val="68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3"/>
    <w:next w:val="68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3"/>
    <w:next w:val="68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3"/>
    <w:next w:val="68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3"/>
    <w:next w:val="68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3"/>
    <w:next w:val="68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3"/>
    <w:next w:val="68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3"/>
    <w:next w:val="68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3"/>
    <w:next w:val="68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8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3"/>
    <w:next w:val="68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5"/>
    <w:link w:val="34"/>
    <w:uiPriority w:val="10"/>
    <w:rPr>
      <w:sz w:val="48"/>
      <w:szCs w:val="48"/>
    </w:rPr>
  </w:style>
  <w:style w:type="paragraph" w:styleId="36">
    <w:name w:val="Subtitle"/>
    <w:basedOn w:val="683"/>
    <w:next w:val="68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5"/>
    <w:link w:val="36"/>
    <w:uiPriority w:val="11"/>
    <w:rPr>
      <w:sz w:val="24"/>
      <w:szCs w:val="24"/>
    </w:rPr>
  </w:style>
  <w:style w:type="paragraph" w:styleId="38">
    <w:name w:val="Quote"/>
    <w:basedOn w:val="683"/>
    <w:next w:val="68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3"/>
    <w:next w:val="68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5"/>
    <w:link w:val="697"/>
    <w:uiPriority w:val="99"/>
  </w:style>
  <w:style w:type="character" w:styleId="45">
    <w:name w:val="Footer Char"/>
    <w:basedOn w:val="685"/>
    <w:link w:val="699"/>
    <w:uiPriority w:val="99"/>
  </w:style>
  <w:style w:type="paragraph" w:styleId="46">
    <w:name w:val="Caption"/>
    <w:basedOn w:val="683"/>
    <w:next w:val="6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9"/>
    <w:uiPriority w:val="99"/>
  </w:style>
  <w:style w:type="table" w:styleId="48">
    <w:name w:val="Table Grid"/>
    <w:basedOn w:val="68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5"/>
    <w:uiPriority w:val="99"/>
    <w:unhideWhenUsed/>
    <w:rPr>
      <w:vertAlign w:val="superscript"/>
    </w:rPr>
  </w:style>
  <w:style w:type="paragraph" w:styleId="178">
    <w:name w:val="endnote text"/>
    <w:basedOn w:val="68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5"/>
    <w:uiPriority w:val="99"/>
    <w:semiHidden/>
    <w:unhideWhenUsed/>
    <w:rPr>
      <w:vertAlign w:val="superscript"/>
    </w:rPr>
  </w:style>
  <w:style w:type="paragraph" w:styleId="181">
    <w:name w:val="toc 1"/>
    <w:basedOn w:val="683"/>
    <w:next w:val="68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3"/>
    <w:next w:val="68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3"/>
    <w:next w:val="68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3"/>
    <w:next w:val="68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3"/>
    <w:next w:val="68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3"/>
    <w:next w:val="68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3"/>
    <w:next w:val="68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3"/>
    <w:next w:val="68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3"/>
    <w:next w:val="68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3"/>
    <w:next w:val="683"/>
    <w:uiPriority w:val="99"/>
    <w:unhideWhenUsed/>
    <w:pPr>
      <w:spacing w:after="0" w:afterAutospacing="0"/>
    </w:pPr>
  </w:style>
  <w:style w:type="paragraph" w:styleId="683" w:default="1">
    <w:name w:val="Normal"/>
    <w:qFormat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684">
    <w:name w:val="Heading 1"/>
    <w:basedOn w:val="683"/>
    <w:next w:val="683"/>
    <w:link w:val="688"/>
    <w:uiPriority w:val="9"/>
    <w:qFormat/>
    <w:pPr>
      <w:keepLines/>
      <w:keepNext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styleId="685" w:default="1">
    <w:name w:val="Default Paragraph Font"/>
    <w:uiPriority w:val="1"/>
    <w:semiHidden/>
    <w:unhideWhenUsed/>
  </w:style>
  <w:style w:type="table" w:styleId="6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7" w:default="1">
    <w:name w:val="No List"/>
    <w:uiPriority w:val="99"/>
    <w:semiHidden/>
    <w:unhideWhenUsed/>
  </w:style>
  <w:style w:type="character" w:styleId="688" w:customStyle="1">
    <w:name w:val="Заголовок 1 Знак"/>
    <w:link w:val="684"/>
    <w:uiPriority w:val="9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689">
    <w:name w:val="Hyperlink"/>
    <w:uiPriority w:val="99"/>
    <w:unhideWhenUsed/>
    <w:rPr>
      <w:color w:val="0000ff"/>
      <w:u w:val="single"/>
    </w:rPr>
  </w:style>
  <w:style w:type="character" w:styleId="690">
    <w:name w:val="annotation reference"/>
    <w:uiPriority w:val="99"/>
    <w:semiHidden/>
    <w:unhideWhenUsed/>
    <w:rPr>
      <w:sz w:val="16"/>
      <w:szCs w:val="16"/>
    </w:rPr>
  </w:style>
  <w:style w:type="paragraph" w:styleId="691">
    <w:name w:val="annotation text"/>
    <w:basedOn w:val="683"/>
    <w:link w:val="692"/>
    <w:uiPriority w:val="99"/>
    <w:semiHidden/>
    <w:unhideWhenUsed/>
    <w:rPr>
      <w:sz w:val="20"/>
      <w:szCs w:val="20"/>
    </w:rPr>
  </w:style>
  <w:style w:type="character" w:styleId="692" w:customStyle="1">
    <w:name w:val="Текст примечания Знак"/>
    <w:link w:val="691"/>
    <w:uiPriority w:val="99"/>
    <w:semiHidden/>
    <w:rPr>
      <w:sz w:val="20"/>
      <w:szCs w:val="20"/>
    </w:rPr>
  </w:style>
  <w:style w:type="paragraph" w:styleId="693">
    <w:name w:val="annotation subject"/>
    <w:basedOn w:val="691"/>
    <w:next w:val="691"/>
    <w:link w:val="694"/>
    <w:uiPriority w:val="99"/>
    <w:semiHidden/>
    <w:unhideWhenUsed/>
    <w:rPr>
      <w:b/>
      <w:bCs/>
    </w:rPr>
  </w:style>
  <w:style w:type="character" w:styleId="694" w:customStyle="1">
    <w:name w:val="Тема примечания Знак"/>
    <w:link w:val="693"/>
    <w:uiPriority w:val="99"/>
    <w:semiHidden/>
    <w:rPr>
      <w:b/>
      <w:bCs/>
      <w:sz w:val="20"/>
      <w:szCs w:val="20"/>
    </w:rPr>
  </w:style>
  <w:style w:type="paragraph" w:styleId="695">
    <w:name w:val="Balloon Text"/>
    <w:basedOn w:val="683"/>
    <w:link w:val="696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styleId="696" w:customStyle="1">
    <w:name w:val="Текст выноски Знак"/>
    <w:link w:val="695"/>
    <w:uiPriority w:val="99"/>
    <w:semiHidden/>
    <w:rPr>
      <w:rFonts w:ascii="Tahoma" w:hAnsi="Tahoma" w:cs="Tahoma"/>
      <w:sz w:val="16"/>
      <w:szCs w:val="16"/>
    </w:rPr>
  </w:style>
  <w:style w:type="paragraph" w:styleId="697">
    <w:name w:val="Header"/>
    <w:basedOn w:val="683"/>
    <w:link w:val="698"/>
    <w:uiPriority w:val="99"/>
    <w:unhideWhenUsed/>
    <w:pPr>
      <w:spacing w:before="0" w:after="0"/>
      <w:tabs>
        <w:tab w:val="center" w:pos="4677" w:leader="none"/>
        <w:tab w:val="right" w:pos="9355" w:leader="none"/>
      </w:tabs>
    </w:pPr>
  </w:style>
  <w:style w:type="character" w:styleId="698" w:customStyle="1">
    <w:name w:val="Верхний колонтитул Знак"/>
    <w:basedOn w:val="685"/>
    <w:link w:val="697"/>
    <w:uiPriority w:val="99"/>
    <w:rPr>
      <w:sz w:val="22"/>
      <w:szCs w:val="22"/>
      <w:lang w:val="en-US" w:eastAsia="en-US"/>
    </w:rPr>
  </w:style>
  <w:style w:type="paragraph" w:styleId="699">
    <w:name w:val="Footer"/>
    <w:basedOn w:val="683"/>
    <w:link w:val="700"/>
    <w:uiPriority w:val="99"/>
    <w:unhideWhenUsed/>
    <w:pPr>
      <w:spacing w:before="0" w:after="0"/>
      <w:tabs>
        <w:tab w:val="center" w:pos="4677" w:leader="none"/>
        <w:tab w:val="right" w:pos="9355" w:leader="none"/>
      </w:tabs>
    </w:pPr>
  </w:style>
  <w:style w:type="character" w:styleId="700" w:customStyle="1">
    <w:name w:val="Нижний колонтитул Знак"/>
    <w:basedOn w:val="685"/>
    <w:link w:val="699"/>
    <w:uiPriority w:val="99"/>
    <w:rPr>
      <w:sz w:val="22"/>
      <w:szCs w:val="22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Ирина Владиславовна</dc:creator>
  <cp:keywords/>
  <dc:description>Подготовлено экспертами Актион-МЦФЭР</dc:description>
  <cp:revision>22</cp:revision>
  <dcterms:created xsi:type="dcterms:W3CDTF">2022-02-07T05:09:00Z</dcterms:created>
  <dcterms:modified xsi:type="dcterms:W3CDTF">2024-03-11T10:10:26Z</dcterms:modified>
</cp:coreProperties>
</file>